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AE937" w14:textId="1C2A0D79" w:rsidR="003225A8" w:rsidRPr="00B1051E" w:rsidRDefault="008C3AE5">
      <w:pPr>
        <w:pStyle w:val="TitleCustom"/>
        <w:jc w:val="center"/>
        <w:rPr>
          <w:rFonts w:cs="Times New Roman"/>
          <w:color w:val="auto"/>
        </w:rPr>
      </w:pPr>
      <w:r w:rsidRPr="00B1051E">
        <w:rPr>
          <w:rFonts w:cs="Times New Roman"/>
          <w:color w:val="auto"/>
        </w:rPr>
        <w:t>ERCİYES ÜNİVERSİTESİ</w:t>
      </w:r>
      <w:r w:rsidRPr="00B1051E">
        <w:rPr>
          <w:rFonts w:cs="Times New Roman"/>
          <w:color w:val="auto"/>
        </w:rPr>
        <w:br/>
        <w:t>Enerji Dönüşümleri Araştırma ve Uygulama Merkezi Müd</w:t>
      </w:r>
      <w:r w:rsidR="007B6853">
        <w:rPr>
          <w:rFonts w:cs="Times New Roman"/>
          <w:color w:val="auto"/>
        </w:rPr>
        <w:t>ürlüğü</w:t>
      </w:r>
      <w:r w:rsidR="007B6853">
        <w:rPr>
          <w:rFonts w:cs="Times New Roman"/>
          <w:color w:val="auto"/>
        </w:rPr>
        <w:br/>
        <w:t xml:space="preserve">Enerji Politikası </w:t>
      </w:r>
    </w:p>
    <w:p w14:paraId="1B81C72A" w14:textId="77777777" w:rsidR="003225A8" w:rsidRPr="00B1051E" w:rsidRDefault="008C3AE5">
      <w:pPr>
        <w:pStyle w:val="SubtitleCustom"/>
        <w:jc w:val="center"/>
        <w:rPr>
          <w:rFonts w:cs="Times New Roman"/>
        </w:rPr>
      </w:pPr>
      <w:r w:rsidRPr="00B1051E">
        <w:rPr>
          <w:rFonts w:cs="Times New Roman"/>
        </w:rPr>
        <w:t>Yenilenebilir enerji, enerji verimliliği, sürdürülebilir ulaşım,</w:t>
      </w:r>
      <w:r w:rsidRPr="00B1051E">
        <w:rPr>
          <w:rFonts w:cs="Times New Roman"/>
        </w:rPr>
        <w:br/>
        <w:t>emisyon azaltımı ve farkındalık odaklı kurumsal politika metni</w:t>
      </w:r>
    </w:p>
    <w:p w14:paraId="5CC2441D" w14:textId="77777777" w:rsidR="003225A8" w:rsidRPr="00B1051E" w:rsidRDefault="003225A8">
      <w:pPr>
        <w:rPr>
          <w:rFonts w:cs="Times New Roman"/>
        </w:rPr>
      </w:pPr>
    </w:p>
    <w:tbl>
      <w:tblPr>
        <w:tblW w:w="0" w:type="auto"/>
        <w:jc w:val="center"/>
        <w:tblLayout w:type="fixed"/>
        <w:tblLook w:val="04A0" w:firstRow="1" w:lastRow="0" w:firstColumn="1" w:lastColumn="0" w:noHBand="0" w:noVBand="1"/>
      </w:tblPr>
      <w:tblGrid>
        <w:gridCol w:w="2835"/>
        <w:gridCol w:w="5953"/>
      </w:tblGrid>
      <w:tr w:rsidR="00B1051E" w:rsidRPr="00B1051E" w14:paraId="0E2C0D11" w14:textId="77777777">
        <w:trPr>
          <w:jc w:val="center"/>
        </w:trPr>
        <w:tc>
          <w:tcPr>
            <w:tcW w:w="2835" w:type="dxa"/>
            <w:shd w:val="clear" w:color="auto" w:fill="DCE6F1"/>
            <w:vAlign w:val="center"/>
          </w:tcPr>
          <w:p w14:paraId="23BBECAC" w14:textId="77777777" w:rsidR="003225A8" w:rsidRPr="00B1051E" w:rsidRDefault="008C3AE5">
            <w:pPr>
              <w:rPr>
                <w:rFonts w:cs="Times New Roman"/>
              </w:rPr>
            </w:pPr>
            <w:r w:rsidRPr="00B1051E">
              <w:rPr>
                <w:rFonts w:cs="Times New Roman"/>
                <w:b/>
                <w:sz w:val="23"/>
              </w:rPr>
              <w:t>Hazırlayan</w:t>
            </w:r>
          </w:p>
        </w:tc>
        <w:tc>
          <w:tcPr>
            <w:tcW w:w="5953" w:type="dxa"/>
            <w:vAlign w:val="center"/>
          </w:tcPr>
          <w:p w14:paraId="7B7337AE" w14:textId="2B4743B2" w:rsidR="003225A8" w:rsidRPr="00B1051E" w:rsidRDefault="007B6853">
            <w:pPr>
              <w:rPr>
                <w:rFonts w:cs="Times New Roman"/>
              </w:rPr>
            </w:pPr>
            <w:r>
              <w:rPr>
                <w:rFonts w:cs="Times New Roman"/>
                <w:sz w:val="23"/>
              </w:rPr>
              <w:t>Prof. Dr. Nesrin KAYATAŞ DEMİR</w:t>
            </w:r>
          </w:p>
        </w:tc>
      </w:tr>
      <w:tr w:rsidR="00B1051E" w:rsidRPr="00B1051E" w14:paraId="149319EA" w14:textId="77777777">
        <w:trPr>
          <w:jc w:val="center"/>
        </w:trPr>
        <w:tc>
          <w:tcPr>
            <w:tcW w:w="2835" w:type="dxa"/>
            <w:shd w:val="clear" w:color="auto" w:fill="DCE6F1"/>
            <w:vAlign w:val="center"/>
          </w:tcPr>
          <w:p w14:paraId="4AFE0C95" w14:textId="77777777" w:rsidR="003225A8" w:rsidRPr="00B1051E" w:rsidRDefault="008C3AE5">
            <w:pPr>
              <w:rPr>
                <w:rFonts w:cs="Times New Roman"/>
              </w:rPr>
            </w:pPr>
            <w:r w:rsidRPr="00B1051E">
              <w:rPr>
                <w:rFonts w:cs="Times New Roman"/>
                <w:b/>
                <w:sz w:val="23"/>
              </w:rPr>
              <w:t>Tarih</w:t>
            </w:r>
          </w:p>
        </w:tc>
        <w:tc>
          <w:tcPr>
            <w:tcW w:w="5953" w:type="dxa"/>
            <w:vAlign w:val="center"/>
          </w:tcPr>
          <w:p w14:paraId="0F358DF1" w14:textId="3BADC9FE" w:rsidR="003225A8" w:rsidRPr="00B1051E" w:rsidRDefault="007B6853">
            <w:pPr>
              <w:rPr>
                <w:rFonts w:cs="Times New Roman"/>
              </w:rPr>
            </w:pPr>
            <w:r>
              <w:rPr>
                <w:rFonts w:cs="Times New Roman"/>
                <w:sz w:val="23"/>
              </w:rPr>
              <w:t>24 / 04</w:t>
            </w:r>
            <w:r w:rsidR="008C3AE5" w:rsidRPr="00B1051E">
              <w:rPr>
                <w:rFonts w:cs="Times New Roman"/>
                <w:sz w:val="23"/>
              </w:rPr>
              <w:t xml:space="preserve"> / 2026</w:t>
            </w:r>
          </w:p>
        </w:tc>
      </w:tr>
      <w:tr w:rsidR="00B1051E" w:rsidRPr="00B1051E" w14:paraId="6FD950B9" w14:textId="77777777" w:rsidTr="007B6853">
        <w:trPr>
          <w:trHeight w:val="80"/>
          <w:jc w:val="center"/>
        </w:trPr>
        <w:tc>
          <w:tcPr>
            <w:tcW w:w="2835" w:type="dxa"/>
            <w:shd w:val="clear" w:color="auto" w:fill="DCE6F1"/>
            <w:vAlign w:val="center"/>
          </w:tcPr>
          <w:p w14:paraId="6A55E4CC" w14:textId="307F743E" w:rsidR="003225A8" w:rsidRPr="00B1051E" w:rsidRDefault="003225A8">
            <w:pPr>
              <w:rPr>
                <w:rFonts w:cs="Times New Roman"/>
              </w:rPr>
            </w:pPr>
          </w:p>
        </w:tc>
        <w:tc>
          <w:tcPr>
            <w:tcW w:w="5953" w:type="dxa"/>
            <w:vAlign w:val="center"/>
          </w:tcPr>
          <w:p w14:paraId="7C374830" w14:textId="152AF02A" w:rsidR="003225A8" w:rsidRPr="00B1051E" w:rsidRDefault="003225A8">
            <w:pPr>
              <w:rPr>
                <w:rFonts w:cs="Times New Roman"/>
              </w:rPr>
            </w:pPr>
          </w:p>
        </w:tc>
      </w:tr>
    </w:tbl>
    <w:p w14:paraId="7EFAA9A3" w14:textId="77777777" w:rsidR="003225A8" w:rsidRPr="00B1051E" w:rsidRDefault="003225A8">
      <w:pPr>
        <w:rPr>
          <w:rFonts w:cs="Times New Roman"/>
        </w:rPr>
      </w:pPr>
    </w:p>
    <w:p w14:paraId="5D29B39E" w14:textId="77777777" w:rsidR="003225A8" w:rsidRPr="00B1051E" w:rsidRDefault="008C3AE5">
      <w:pPr>
        <w:pStyle w:val="Heading1Custom"/>
        <w:spacing w:before="240" w:after="80"/>
        <w:rPr>
          <w:rFonts w:cs="Times New Roman"/>
          <w:color w:val="auto"/>
        </w:rPr>
      </w:pPr>
      <w:r w:rsidRPr="00B1051E">
        <w:rPr>
          <w:rFonts w:cs="Times New Roman"/>
          <w:color w:val="auto"/>
        </w:rPr>
        <w:t>1. Amaç ve kapsam</w:t>
      </w:r>
    </w:p>
    <w:p w14:paraId="23DCA684" w14:textId="77777777" w:rsidR="003225A8" w:rsidRPr="00B1051E" w:rsidRDefault="008C3AE5" w:rsidP="007B6853">
      <w:pPr>
        <w:spacing w:after="120"/>
        <w:ind w:firstLine="454"/>
        <w:jc w:val="both"/>
        <w:rPr>
          <w:rFonts w:cs="Times New Roman"/>
        </w:rPr>
      </w:pPr>
      <w:r w:rsidRPr="00B1051E">
        <w:rPr>
          <w:rFonts w:cs="Times New Roman"/>
        </w:rPr>
        <w:t>Bu Enerji Politikası; Erciyes Üniversitesi Enerji Dönüşümleri Araştırma ve Uygulama Merkezi Müdürlüğü ile ilişkili faaliyetlerde enerji yönetimi anlayışının kurumsal bir çerçeveye kavuşturulması, enerji performansının iyileştirilmesi, kaynak kullanımının daha verimli hale getirilmesi, sera gazı emisyonlarının azaltılması ve sürdürülebilir kampüs uygulamalarının yaygınlaştırılması amacıyla hazırlanmıştır.</w:t>
      </w:r>
    </w:p>
    <w:p w14:paraId="62ECE1EE" w14:textId="77777777" w:rsidR="003225A8" w:rsidRPr="00B1051E" w:rsidRDefault="008C3AE5" w:rsidP="007B6853">
      <w:pPr>
        <w:spacing w:after="120"/>
        <w:ind w:firstLine="454"/>
        <w:jc w:val="both"/>
        <w:rPr>
          <w:rFonts w:cs="Times New Roman"/>
        </w:rPr>
      </w:pPr>
      <w:r w:rsidRPr="00B1051E">
        <w:rPr>
          <w:rFonts w:cs="Times New Roman"/>
        </w:rPr>
        <w:t>Politika; bina ve tesislerde enerji kullanımı, aydınlatma, ısıtma-soğutma, elektrikli ekipmanlar, laboratuvar altyapıları, yenilenebilir enerji uygulamaları, ulaşım tercihleri, elektrikli araç altyapısı, satın alma süreçleri, farkındalık faaliyetleri ve izleme-raporlama mekanizmalarını kapsar. Bu metin, yalnızca teknik yatırımları değil; yönetişim, eğitim, davranış değişikliği ve sürekli iyileştirme yaklaşımını da esas alır.</w:t>
      </w:r>
    </w:p>
    <w:p w14:paraId="34A44858" w14:textId="77777777" w:rsidR="003225A8" w:rsidRPr="00B1051E" w:rsidRDefault="008C3AE5" w:rsidP="007B6853">
      <w:pPr>
        <w:pStyle w:val="Heading1Custom"/>
        <w:spacing w:before="240" w:after="80"/>
        <w:jc w:val="both"/>
        <w:rPr>
          <w:rFonts w:cs="Times New Roman"/>
          <w:color w:val="auto"/>
        </w:rPr>
      </w:pPr>
      <w:r w:rsidRPr="00B1051E">
        <w:rPr>
          <w:rFonts w:cs="Times New Roman"/>
          <w:color w:val="auto"/>
        </w:rPr>
        <w:t>2. Temel yaklaşım ve dayanak</w:t>
      </w:r>
    </w:p>
    <w:p w14:paraId="1D782C7E" w14:textId="77777777" w:rsidR="003225A8" w:rsidRPr="00B1051E" w:rsidRDefault="008C3AE5" w:rsidP="007B6853">
      <w:pPr>
        <w:spacing w:after="120"/>
        <w:ind w:firstLine="454"/>
        <w:jc w:val="both"/>
        <w:rPr>
          <w:rFonts w:cs="Times New Roman"/>
        </w:rPr>
      </w:pPr>
      <w:r w:rsidRPr="00B1051E">
        <w:rPr>
          <w:rFonts w:cs="Times New Roman"/>
        </w:rPr>
        <w:t>Bu politika; enerji performansının sistematik biçimde geliştirilmesini, enerji kullanımının düzenli olarak izlenmesini, veriye dayalı karar alınmasını ve sürekli iyileştirme kültürünün yerleştirilmesini esas alır. Enerji yönetimi uygulamalarında; mevzuata uyum, teknik uygulanabilirlik, ekonomik rasyonalite, çevresel etki, kurumsal kapasite ve paydaş katılımı birlikte değerlendirilir.</w:t>
      </w:r>
    </w:p>
    <w:p w14:paraId="264F8D0E" w14:textId="77777777" w:rsidR="003225A8" w:rsidRPr="00B1051E" w:rsidRDefault="008C3AE5" w:rsidP="007B6853">
      <w:pPr>
        <w:spacing w:after="120"/>
        <w:ind w:firstLine="454"/>
        <w:jc w:val="both"/>
        <w:rPr>
          <w:rFonts w:cs="Times New Roman"/>
        </w:rPr>
      </w:pPr>
      <w:r w:rsidRPr="00B1051E">
        <w:rPr>
          <w:rFonts w:cs="Times New Roman"/>
        </w:rPr>
        <w:t>Politika hazırlanırken; enerji yönetim sistemlerinde sürekli iyileştirme yaklaşımını esas alan ISO 50001 çerçevesi, kamu binalarında enerji tasarrufu ve verimlilik hedeflerine ilişkin ulusal uygulamalar ile üniversitelerde yenilenebilir enerji, düşük karbonlu ulaşım ve sürdürülebilir kampüs yönetimine yönelik iyi uygulama örnekleri dikkate alınmıştır.</w:t>
      </w:r>
    </w:p>
    <w:p w14:paraId="54E31D2A" w14:textId="77777777" w:rsidR="003225A8" w:rsidRPr="00B1051E" w:rsidRDefault="008C3AE5">
      <w:pPr>
        <w:pStyle w:val="Heading1Custom"/>
        <w:spacing w:before="240" w:after="80"/>
        <w:rPr>
          <w:rFonts w:cs="Times New Roman"/>
          <w:color w:val="auto"/>
        </w:rPr>
      </w:pPr>
      <w:r w:rsidRPr="00B1051E">
        <w:rPr>
          <w:rFonts w:cs="Times New Roman"/>
          <w:color w:val="auto"/>
        </w:rPr>
        <w:lastRenderedPageBreak/>
        <w:t>3. Politika beyanı</w:t>
      </w:r>
    </w:p>
    <w:p w14:paraId="27E2AE40" w14:textId="77777777" w:rsidR="003225A8" w:rsidRPr="00B1051E" w:rsidRDefault="008C3AE5" w:rsidP="007E6A1F">
      <w:pPr>
        <w:spacing w:after="120"/>
        <w:ind w:firstLine="454"/>
        <w:jc w:val="both"/>
        <w:rPr>
          <w:rFonts w:cs="Times New Roman"/>
        </w:rPr>
      </w:pPr>
      <w:r w:rsidRPr="00B1051E">
        <w:rPr>
          <w:rFonts w:cs="Times New Roman"/>
        </w:rPr>
        <w:t>Üniversitemiz, enerji yönetimini yalnızca maliyet azaltıcı bir unsur olarak değil; eğitim, araştırma, toplumsal katkı ve çevresel sorumluluk boyutları olan stratejik bir öncelik olarak kabul eder. Bu kapsamda enerji tüketiminin azaltılması, enerji verimliliğinin artırılması, yenilenebilir enerji kaynaklarının kullanımının yaygınlaştırılması, elektrikli araçlar ve sürdürülebilir ulaşım seçeneklerinin desteklenmesi, sera gazı emisyonlarının azaltılması ve üniversite genelinde farkındalığın geliştirilmesi temel taahhütlerimizdir.</w:t>
      </w:r>
    </w:p>
    <w:p w14:paraId="3E43867F" w14:textId="77777777" w:rsidR="003225A8" w:rsidRPr="00B1051E" w:rsidRDefault="008C3AE5" w:rsidP="007E6A1F">
      <w:pPr>
        <w:spacing w:after="120"/>
        <w:ind w:firstLine="454"/>
        <w:jc w:val="both"/>
        <w:rPr>
          <w:rFonts w:cs="Times New Roman"/>
        </w:rPr>
      </w:pPr>
      <w:r w:rsidRPr="00B1051E">
        <w:rPr>
          <w:rFonts w:cs="Times New Roman"/>
        </w:rPr>
        <w:t>Üniversitemiz; enerji ile ilgili kararlarında yaşam döngüsü yaklaşımını, verimlilik önceliğini ve düşük karbonlu dönüşümü esas alır. Teknik altyapı yatırımları, bakım-onarım süreçleri, yeni bina ve renovasyon çalışmaları, ekipman seçimleri, ulaşım planlaması ve eğitim faaliyetleri bu politikanın ilkeleriyle uyumlu biçimde yürütülür.</w:t>
      </w:r>
    </w:p>
    <w:p w14:paraId="3F8B8749" w14:textId="77777777" w:rsidR="003225A8" w:rsidRPr="00B1051E" w:rsidRDefault="008C3AE5">
      <w:pPr>
        <w:pStyle w:val="Heading1Custom"/>
        <w:spacing w:before="240" w:after="80"/>
        <w:rPr>
          <w:rFonts w:cs="Times New Roman"/>
          <w:color w:val="auto"/>
        </w:rPr>
      </w:pPr>
      <w:r w:rsidRPr="00B1051E">
        <w:rPr>
          <w:rFonts w:cs="Times New Roman"/>
          <w:color w:val="auto"/>
        </w:rPr>
        <w:t>4. Hedefler ve öncelikler</w:t>
      </w:r>
    </w:p>
    <w:tbl>
      <w:tblPr>
        <w:tblStyle w:val="TabloKlavuzu"/>
        <w:tblW w:w="0" w:type="auto"/>
        <w:jc w:val="center"/>
        <w:tblLayout w:type="fixed"/>
        <w:tblLook w:val="04A0" w:firstRow="1" w:lastRow="0" w:firstColumn="1" w:lastColumn="0" w:noHBand="0" w:noVBand="1"/>
      </w:tblPr>
      <w:tblGrid>
        <w:gridCol w:w="2381"/>
        <w:gridCol w:w="4025"/>
        <w:gridCol w:w="2268"/>
      </w:tblGrid>
      <w:tr w:rsidR="00B1051E" w:rsidRPr="00B1051E" w14:paraId="1390D900" w14:textId="77777777">
        <w:trPr>
          <w:jc w:val="center"/>
        </w:trPr>
        <w:tc>
          <w:tcPr>
            <w:tcW w:w="2381" w:type="dxa"/>
            <w:shd w:val="clear" w:color="auto" w:fill="DCE6F1"/>
            <w:vAlign w:val="center"/>
          </w:tcPr>
          <w:p w14:paraId="66D1CA7E" w14:textId="77777777" w:rsidR="003225A8" w:rsidRPr="00B1051E" w:rsidRDefault="008C3AE5">
            <w:pPr>
              <w:jc w:val="center"/>
              <w:rPr>
                <w:rFonts w:cs="Times New Roman"/>
              </w:rPr>
            </w:pPr>
            <w:r w:rsidRPr="00B1051E">
              <w:rPr>
                <w:rFonts w:cs="Times New Roman"/>
                <w:b/>
                <w:sz w:val="23"/>
              </w:rPr>
              <w:t>Politika alanı</w:t>
            </w:r>
          </w:p>
        </w:tc>
        <w:tc>
          <w:tcPr>
            <w:tcW w:w="4025" w:type="dxa"/>
            <w:shd w:val="clear" w:color="auto" w:fill="DCE6F1"/>
            <w:vAlign w:val="center"/>
          </w:tcPr>
          <w:p w14:paraId="19522ED9" w14:textId="77777777" w:rsidR="003225A8" w:rsidRPr="00B1051E" w:rsidRDefault="008C3AE5">
            <w:pPr>
              <w:jc w:val="center"/>
              <w:rPr>
                <w:rFonts w:cs="Times New Roman"/>
              </w:rPr>
            </w:pPr>
            <w:r w:rsidRPr="00B1051E">
              <w:rPr>
                <w:rFonts w:cs="Times New Roman"/>
                <w:b/>
                <w:sz w:val="23"/>
              </w:rPr>
              <w:t>Temel öncelik</w:t>
            </w:r>
          </w:p>
        </w:tc>
        <w:tc>
          <w:tcPr>
            <w:tcW w:w="2268" w:type="dxa"/>
            <w:shd w:val="clear" w:color="auto" w:fill="DCE6F1"/>
            <w:vAlign w:val="center"/>
          </w:tcPr>
          <w:p w14:paraId="00DC03F7" w14:textId="77777777" w:rsidR="003225A8" w:rsidRPr="00B1051E" w:rsidRDefault="008C3AE5">
            <w:pPr>
              <w:jc w:val="center"/>
              <w:rPr>
                <w:rFonts w:cs="Times New Roman"/>
              </w:rPr>
            </w:pPr>
            <w:r w:rsidRPr="00B1051E">
              <w:rPr>
                <w:rFonts w:cs="Times New Roman"/>
                <w:b/>
                <w:sz w:val="23"/>
              </w:rPr>
              <w:t>Örnek uygulama / gösterge</w:t>
            </w:r>
          </w:p>
        </w:tc>
      </w:tr>
      <w:tr w:rsidR="00B1051E" w:rsidRPr="00B1051E" w14:paraId="0F570E42" w14:textId="77777777">
        <w:trPr>
          <w:jc w:val="center"/>
        </w:trPr>
        <w:tc>
          <w:tcPr>
            <w:tcW w:w="2381" w:type="dxa"/>
            <w:vAlign w:val="center"/>
          </w:tcPr>
          <w:p w14:paraId="36E1864E" w14:textId="77777777" w:rsidR="003225A8" w:rsidRPr="00B1051E" w:rsidRDefault="008C3AE5" w:rsidP="007E6A1F">
            <w:pPr>
              <w:jc w:val="both"/>
              <w:rPr>
                <w:rFonts w:cs="Times New Roman"/>
              </w:rPr>
            </w:pPr>
            <w:proofErr w:type="spellStart"/>
            <w:r w:rsidRPr="00B1051E">
              <w:rPr>
                <w:rFonts w:cs="Times New Roman"/>
                <w:b/>
                <w:sz w:val="23"/>
              </w:rPr>
              <w:t>Yenilenebilir</w:t>
            </w:r>
            <w:proofErr w:type="spellEnd"/>
            <w:r w:rsidRPr="00B1051E">
              <w:rPr>
                <w:rFonts w:cs="Times New Roman"/>
                <w:b/>
                <w:sz w:val="23"/>
              </w:rPr>
              <w:t xml:space="preserve"> </w:t>
            </w:r>
            <w:proofErr w:type="spellStart"/>
            <w:r w:rsidRPr="00B1051E">
              <w:rPr>
                <w:rFonts w:cs="Times New Roman"/>
                <w:b/>
                <w:sz w:val="23"/>
              </w:rPr>
              <w:t>enerji</w:t>
            </w:r>
            <w:proofErr w:type="spellEnd"/>
          </w:p>
        </w:tc>
        <w:tc>
          <w:tcPr>
            <w:tcW w:w="4025" w:type="dxa"/>
            <w:vAlign w:val="center"/>
          </w:tcPr>
          <w:p w14:paraId="04EA313F" w14:textId="77777777" w:rsidR="003225A8" w:rsidRPr="00B1051E" w:rsidRDefault="008C3AE5" w:rsidP="007E6A1F">
            <w:pPr>
              <w:jc w:val="both"/>
              <w:rPr>
                <w:rFonts w:cs="Times New Roman"/>
              </w:rPr>
            </w:pPr>
            <w:r w:rsidRPr="00B1051E">
              <w:rPr>
                <w:rFonts w:cs="Times New Roman"/>
                <w:sz w:val="23"/>
              </w:rPr>
              <w:t>Çatı GES, otopark üstü güneş enerjisi sistemleri, uygun alanlarda yenilenebilir enerji üretim olanaklarının değerlendirilmesi.</w:t>
            </w:r>
          </w:p>
        </w:tc>
        <w:tc>
          <w:tcPr>
            <w:tcW w:w="2268" w:type="dxa"/>
            <w:vAlign w:val="center"/>
          </w:tcPr>
          <w:p w14:paraId="27700405" w14:textId="77777777" w:rsidR="003225A8" w:rsidRPr="00B1051E" w:rsidRDefault="008C3AE5" w:rsidP="007E6A1F">
            <w:pPr>
              <w:jc w:val="both"/>
              <w:rPr>
                <w:rFonts w:cs="Times New Roman"/>
              </w:rPr>
            </w:pPr>
            <w:r w:rsidRPr="00B1051E">
              <w:rPr>
                <w:rFonts w:cs="Times New Roman"/>
                <w:sz w:val="23"/>
              </w:rPr>
              <w:t>Kurulu güç artışı, öz tüketim oranı, yenilenebilir enerji kaynaklı elektrik payı</w:t>
            </w:r>
          </w:p>
        </w:tc>
      </w:tr>
      <w:tr w:rsidR="00B1051E" w:rsidRPr="00B1051E" w14:paraId="2AEBC7CF" w14:textId="77777777">
        <w:trPr>
          <w:jc w:val="center"/>
        </w:trPr>
        <w:tc>
          <w:tcPr>
            <w:tcW w:w="2381" w:type="dxa"/>
            <w:vAlign w:val="center"/>
          </w:tcPr>
          <w:p w14:paraId="19CAB6AC" w14:textId="77777777" w:rsidR="003225A8" w:rsidRPr="00B1051E" w:rsidRDefault="008C3AE5" w:rsidP="007E6A1F">
            <w:pPr>
              <w:jc w:val="both"/>
              <w:rPr>
                <w:rFonts w:cs="Times New Roman"/>
              </w:rPr>
            </w:pPr>
            <w:proofErr w:type="spellStart"/>
            <w:r w:rsidRPr="00B1051E">
              <w:rPr>
                <w:rFonts w:cs="Times New Roman"/>
                <w:b/>
                <w:sz w:val="23"/>
              </w:rPr>
              <w:t>Enerji</w:t>
            </w:r>
            <w:proofErr w:type="spellEnd"/>
            <w:r w:rsidRPr="00B1051E">
              <w:rPr>
                <w:rFonts w:cs="Times New Roman"/>
                <w:b/>
                <w:sz w:val="23"/>
              </w:rPr>
              <w:t xml:space="preserve"> </w:t>
            </w:r>
            <w:proofErr w:type="spellStart"/>
            <w:r w:rsidRPr="00B1051E">
              <w:rPr>
                <w:rFonts w:cs="Times New Roman"/>
                <w:b/>
                <w:sz w:val="23"/>
              </w:rPr>
              <w:t>verimliliği</w:t>
            </w:r>
            <w:proofErr w:type="spellEnd"/>
          </w:p>
        </w:tc>
        <w:tc>
          <w:tcPr>
            <w:tcW w:w="4025" w:type="dxa"/>
            <w:vAlign w:val="center"/>
          </w:tcPr>
          <w:p w14:paraId="10CE9CE9" w14:textId="77777777" w:rsidR="003225A8" w:rsidRPr="00B1051E" w:rsidRDefault="008C3AE5" w:rsidP="007E6A1F">
            <w:pPr>
              <w:jc w:val="both"/>
              <w:rPr>
                <w:rFonts w:cs="Times New Roman"/>
              </w:rPr>
            </w:pPr>
            <w:r w:rsidRPr="00B1051E">
              <w:rPr>
                <w:rFonts w:cs="Times New Roman"/>
                <w:sz w:val="23"/>
              </w:rPr>
              <w:t>Aydınlatma, HVAC, pompa-motor sistemleri, laboratuvar ekipmanları ve bina otomasyonu gibi alanlarda verimlilik projelerinin önceliklendirilmesi.</w:t>
            </w:r>
          </w:p>
        </w:tc>
        <w:tc>
          <w:tcPr>
            <w:tcW w:w="2268" w:type="dxa"/>
            <w:vAlign w:val="center"/>
          </w:tcPr>
          <w:p w14:paraId="61664180" w14:textId="77777777" w:rsidR="003225A8" w:rsidRPr="00B1051E" w:rsidRDefault="008C3AE5" w:rsidP="007E6A1F">
            <w:pPr>
              <w:jc w:val="both"/>
              <w:rPr>
                <w:rFonts w:cs="Times New Roman"/>
              </w:rPr>
            </w:pPr>
            <w:r w:rsidRPr="00B1051E">
              <w:rPr>
                <w:rFonts w:cs="Times New Roman"/>
                <w:sz w:val="23"/>
              </w:rPr>
              <w:t>kWh/m², birim kullanıcı başına tüketim, LED dönüşüm oranı</w:t>
            </w:r>
          </w:p>
        </w:tc>
      </w:tr>
      <w:tr w:rsidR="00B1051E" w:rsidRPr="00B1051E" w14:paraId="619F4976" w14:textId="77777777">
        <w:trPr>
          <w:jc w:val="center"/>
        </w:trPr>
        <w:tc>
          <w:tcPr>
            <w:tcW w:w="2381" w:type="dxa"/>
            <w:vAlign w:val="center"/>
          </w:tcPr>
          <w:p w14:paraId="325D10CA" w14:textId="77777777" w:rsidR="003225A8" w:rsidRPr="00B1051E" w:rsidRDefault="008C3AE5" w:rsidP="007E6A1F">
            <w:pPr>
              <w:jc w:val="both"/>
              <w:rPr>
                <w:rFonts w:cs="Times New Roman"/>
              </w:rPr>
            </w:pPr>
            <w:proofErr w:type="spellStart"/>
            <w:r w:rsidRPr="00B1051E">
              <w:rPr>
                <w:rFonts w:cs="Times New Roman"/>
                <w:b/>
                <w:sz w:val="23"/>
              </w:rPr>
              <w:t>Elektrikli</w:t>
            </w:r>
            <w:proofErr w:type="spellEnd"/>
            <w:r w:rsidRPr="00B1051E">
              <w:rPr>
                <w:rFonts w:cs="Times New Roman"/>
                <w:b/>
                <w:sz w:val="23"/>
              </w:rPr>
              <w:t xml:space="preserve"> </w:t>
            </w:r>
            <w:proofErr w:type="spellStart"/>
            <w:r w:rsidRPr="00B1051E">
              <w:rPr>
                <w:rFonts w:cs="Times New Roman"/>
                <w:b/>
                <w:sz w:val="23"/>
              </w:rPr>
              <w:t>araç</w:t>
            </w:r>
            <w:proofErr w:type="spellEnd"/>
            <w:r w:rsidRPr="00B1051E">
              <w:rPr>
                <w:rFonts w:cs="Times New Roman"/>
                <w:b/>
                <w:sz w:val="23"/>
              </w:rPr>
              <w:t xml:space="preserve"> </w:t>
            </w:r>
            <w:proofErr w:type="spellStart"/>
            <w:r w:rsidRPr="00B1051E">
              <w:rPr>
                <w:rFonts w:cs="Times New Roman"/>
                <w:b/>
                <w:sz w:val="23"/>
              </w:rPr>
              <w:t>ve</w:t>
            </w:r>
            <w:proofErr w:type="spellEnd"/>
            <w:r w:rsidRPr="00B1051E">
              <w:rPr>
                <w:rFonts w:cs="Times New Roman"/>
                <w:b/>
                <w:sz w:val="23"/>
              </w:rPr>
              <w:t xml:space="preserve"> </w:t>
            </w:r>
            <w:proofErr w:type="spellStart"/>
            <w:r w:rsidRPr="00B1051E">
              <w:rPr>
                <w:rFonts w:cs="Times New Roman"/>
                <w:b/>
                <w:sz w:val="23"/>
              </w:rPr>
              <w:t>sürdürülebilir</w:t>
            </w:r>
            <w:proofErr w:type="spellEnd"/>
            <w:r w:rsidRPr="00B1051E">
              <w:rPr>
                <w:rFonts w:cs="Times New Roman"/>
                <w:b/>
                <w:sz w:val="23"/>
              </w:rPr>
              <w:t xml:space="preserve"> </w:t>
            </w:r>
            <w:proofErr w:type="spellStart"/>
            <w:r w:rsidRPr="00B1051E">
              <w:rPr>
                <w:rFonts w:cs="Times New Roman"/>
                <w:b/>
                <w:sz w:val="23"/>
              </w:rPr>
              <w:t>ulaşım</w:t>
            </w:r>
            <w:proofErr w:type="spellEnd"/>
          </w:p>
        </w:tc>
        <w:tc>
          <w:tcPr>
            <w:tcW w:w="4025" w:type="dxa"/>
            <w:vAlign w:val="center"/>
          </w:tcPr>
          <w:p w14:paraId="3759DEE3" w14:textId="77777777" w:rsidR="003225A8" w:rsidRPr="00B1051E" w:rsidRDefault="008C3AE5" w:rsidP="007E6A1F">
            <w:pPr>
              <w:jc w:val="both"/>
              <w:rPr>
                <w:rFonts w:cs="Times New Roman"/>
              </w:rPr>
            </w:pPr>
            <w:r w:rsidRPr="00B1051E">
              <w:rPr>
                <w:rFonts w:cs="Times New Roman"/>
                <w:sz w:val="23"/>
              </w:rPr>
              <w:t>Elektrikli araç şarj altyapısının planlanması, kurum araç filosunda elektrikli veya düşük emisyonlu araçların değerlendirilmesi, yaya-bisiklet-toplu taşıma odaklı erişimin desteklenmesi.</w:t>
            </w:r>
          </w:p>
        </w:tc>
        <w:tc>
          <w:tcPr>
            <w:tcW w:w="2268" w:type="dxa"/>
            <w:vAlign w:val="center"/>
          </w:tcPr>
          <w:p w14:paraId="0DC88B93" w14:textId="77777777" w:rsidR="003225A8" w:rsidRPr="00B1051E" w:rsidRDefault="008C3AE5" w:rsidP="007E6A1F">
            <w:pPr>
              <w:jc w:val="both"/>
              <w:rPr>
                <w:rFonts w:cs="Times New Roman"/>
              </w:rPr>
            </w:pPr>
            <w:r w:rsidRPr="00B1051E">
              <w:rPr>
                <w:rFonts w:cs="Times New Roman"/>
                <w:sz w:val="23"/>
              </w:rPr>
              <w:t>Şarj noktası sayısı, düşük emisyonlu araç payı, sürdürülebilir ulaşım kullanım oranı</w:t>
            </w:r>
          </w:p>
        </w:tc>
      </w:tr>
      <w:tr w:rsidR="00B1051E" w:rsidRPr="00B1051E" w14:paraId="0AEB1325" w14:textId="77777777">
        <w:trPr>
          <w:jc w:val="center"/>
        </w:trPr>
        <w:tc>
          <w:tcPr>
            <w:tcW w:w="2381" w:type="dxa"/>
            <w:vAlign w:val="center"/>
          </w:tcPr>
          <w:p w14:paraId="36D22383" w14:textId="77777777" w:rsidR="003225A8" w:rsidRPr="00B1051E" w:rsidRDefault="008C3AE5" w:rsidP="007E6A1F">
            <w:pPr>
              <w:jc w:val="both"/>
              <w:rPr>
                <w:rFonts w:cs="Times New Roman"/>
              </w:rPr>
            </w:pPr>
            <w:proofErr w:type="spellStart"/>
            <w:r w:rsidRPr="00B1051E">
              <w:rPr>
                <w:rFonts w:cs="Times New Roman"/>
                <w:b/>
                <w:sz w:val="23"/>
              </w:rPr>
              <w:t>Emisyon</w:t>
            </w:r>
            <w:proofErr w:type="spellEnd"/>
            <w:r w:rsidRPr="00B1051E">
              <w:rPr>
                <w:rFonts w:cs="Times New Roman"/>
                <w:b/>
                <w:sz w:val="23"/>
              </w:rPr>
              <w:t xml:space="preserve"> </w:t>
            </w:r>
            <w:proofErr w:type="spellStart"/>
            <w:r w:rsidRPr="00B1051E">
              <w:rPr>
                <w:rFonts w:cs="Times New Roman"/>
                <w:b/>
                <w:sz w:val="23"/>
              </w:rPr>
              <w:t>azaltımı</w:t>
            </w:r>
            <w:proofErr w:type="spellEnd"/>
          </w:p>
        </w:tc>
        <w:tc>
          <w:tcPr>
            <w:tcW w:w="4025" w:type="dxa"/>
            <w:vAlign w:val="center"/>
          </w:tcPr>
          <w:p w14:paraId="36A924CB" w14:textId="77777777" w:rsidR="003225A8" w:rsidRPr="00B1051E" w:rsidRDefault="008C3AE5" w:rsidP="007E6A1F">
            <w:pPr>
              <w:jc w:val="both"/>
              <w:rPr>
                <w:rFonts w:cs="Times New Roman"/>
              </w:rPr>
            </w:pPr>
            <w:r w:rsidRPr="00B1051E">
              <w:rPr>
                <w:rFonts w:cs="Times New Roman"/>
                <w:sz w:val="23"/>
              </w:rPr>
              <w:t>Enerji kullanımından ve ulaşımdan kaynaklı emisyonların azaltılmasına yönelik yol haritasının oluşturulması.</w:t>
            </w:r>
          </w:p>
        </w:tc>
        <w:tc>
          <w:tcPr>
            <w:tcW w:w="2268" w:type="dxa"/>
            <w:vAlign w:val="center"/>
          </w:tcPr>
          <w:p w14:paraId="11F54F2C" w14:textId="77777777" w:rsidR="003225A8" w:rsidRPr="00B1051E" w:rsidRDefault="008C3AE5" w:rsidP="007E6A1F">
            <w:pPr>
              <w:jc w:val="both"/>
              <w:rPr>
                <w:rFonts w:cs="Times New Roman"/>
              </w:rPr>
            </w:pPr>
            <w:r w:rsidRPr="00B1051E">
              <w:rPr>
                <w:rFonts w:cs="Times New Roman"/>
                <w:sz w:val="23"/>
              </w:rPr>
              <w:t>Yıllık emisyon envanteri, baz yıla göre azaltım oranı</w:t>
            </w:r>
          </w:p>
        </w:tc>
      </w:tr>
      <w:tr w:rsidR="00B1051E" w:rsidRPr="00B1051E" w14:paraId="55BA98D2" w14:textId="77777777">
        <w:trPr>
          <w:jc w:val="center"/>
        </w:trPr>
        <w:tc>
          <w:tcPr>
            <w:tcW w:w="2381" w:type="dxa"/>
            <w:vAlign w:val="center"/>
          </w:tcPr>
          <w:p w14:paraId="774A22D8" w14:textId="77777777" w:rsidR="003225A8" w:rsidRPr="00B1051E" w:rsidRDefault="008C3AE5" w:rsidP="007E6A1F">
            <w:pPr>
              <w:jc w:val="both"/>
              <w:rPr>
                <w:rFonts w:cs="Times New Roman"/>
              </w:rPr>
            </w:pPr>
            <w:proofErr w:type="spellStart"/>
            <w:r w:rsidRPr="00B1051E">
              <w:rPr>
                <w:rFonts w:cs="Times New Roman"/>
                <w:b/>
                <w:sz w:val="23"/>
              </w:rPr>
              <w:t>Farkındalık</w:t>
            </w:r>
            <w:proofErr w:type="spellEnd"/>
            <w:r w:rsidRPr="00B1051E">
              <w:rPr>
                <w:rFonts w:cs="Times New Roman"/>
                <w:b/>
                <w:sz w:val="23"/>
              </w:rPr>
              <w:t xml:space="preserve"> </w:t>
            </w:r>
            <w:proofErr w:type="spellStart"/>
            <w:r w:rsidRPr="00B1051E">
              <w:rPr>
                <w:rFonts w:cs="Times New Roman"/>
                <w:b/>
                <w:sz w:val="23"/>
              </w:rPr>
              <w:t>ve</w:t>
            </w:r>
            <w:proofErr w:type="spellEnd"/>
            <w:r w:rsidRPr="00B1051E">
              <w:rPr>
                <w:rFonts w:cs="Times New Roman"/>
                <w:b/>
                <w:sz w:val="23"/>
              </w:rPr>
              <w:t xml:space="preserve"> </w:t>
            </w:r>
            <w:proofErr w:type="spellStart"/>
            <w:r w:rsidRPr="00B1051E">
              <w:rPr>
                <w:rFonts w:cs="Times New Roman"/>
                <w:b/>
                <w:sz w:val="23"/>
              </w:rPr>
              <w:t>katılım</w:t>
            </w:r>
            <w:proofErr w:type="spellEnd"/>
          </w:p>
        </w:tc>
        <w:tc>
          <w:tcPr>
            <w:tcW w:w="4025" w:type="dxa"/>
            <w:vAlign w:val="center"/>
          </w:tcPr>
          <w:p w14:paraId="72279F58" w14:textId="77777777" w:rsidR="003225A8" w:rsidRPr="00B1051E" w:rsidRDefault="008C3AE5" w:rsidP="007E6A1F">
            <w:pPr>
              <w:jc w:val="both"/>
              <w:rPr>
                <w:rFonts w:cs="Times New Roman"/>
              </w:rPr>
            </w:pPr>
            <w:r w:rsidRPr="00B1051E">
              <w:rPr>
                <w:rFonts w:cs="Times New Roman"/>
                <w:sz w:val="23"/>
              </w:rPr>
              <w:t>Öğrenci, personel ve paydaşlarda enerji verimliliği ve sürdürülebilir yaşam kültürünün güçlendirilmesi.</w:t>
            </w:r>
          </w:p>
        </w:tc>
        <w:tc>
          <w:tcPr>
            <w:tcW w:w="2268" w:type="dxa"/>
            <w:vAlign w:val="center"/>
          </w:tcPr>
          <w:p w14:paraId="7518DBF1" w14:textId="77777777" w:rsidR="003225A8" w:rsidRPr="00B1051E" w:rsidRDefault="008C3AE5" w:rsidP="007E6A1F">
            <w:pPr>
              <w:jc w:val="both"/>
              <w:rPr>
                <w:rFonts w:cs="Times New Roman"/>
              </w:rPr>
            </w:pPr>
            <w:r w:rsidRPr="00B1051E">
              <w:rPr>
                <w:rFonts w:cs="Times New Roman"/>
                <w:sz w:val="23"/>
              </w:rPr>
              <w:t>Eğitim sayısı, katılımcı sayısı, davranış değişikliği kampanyaları</w:t>
            </w:r>
          </w:p>
        </w:tc>
      </w:tr>
    </w:tbl>
    <w:p w14:paraId="72859C42" w14:textId="77777777" w:rsidR="003225A8" w:rsidRPr="00B1051E" w:rsidRDefault="008C3AE5" w:rsidP="007E6A1F">
      <w:pPr>
        <w:spacing w:after="120"/>
        <w:ind w:firstLine="454"/>
        <w:jc w:val="both"/>
        <w:rPr>
          <w:rFonts w:cs="Times New Roman"/>
        </w:rPr>
      </w:pPr>
      <w:proofErr w:type="spellStart"/>
      <w:r w:rsidRPr="00B1051E">
        <w:rPr>
          <w:rFonts w:cs="Times New Roman"/>
        </w:rPr>
        <w:t>Üniversitemiz</w:t>
      </w:r>
      <w:proofErr w:type="spellEnd"/>
      <w:r w:rsidRPr="00B1051E">
        <w:rPr>
          <w:rFonts w:cs="Times New Roman"/>
        </w:rPr>
        <w:t xml:space="preserve">, </w:t>
      </w:r>
      <w:proofErr w:type="spellStart"/>
      <w:r w:rsidRPr="00B1051E">
        <w:rPr>
          <w:rFonts w:cs="Times New Roman"/>
        </w:rPr>
        <w:t>enerji</w:t>
      </w:r>
      <w:proofErr w:type="spellEnd"/>
      <w:r w:rsidRPr="00B1051E">
        <w:rPr>
          <w:rFonts w:cs="Times New Roman"/>
        </w:rPr>
        <w:t xml:space="preserve"> </w:t>
      </w:r>
      <w:proofErr w:type="spellStart"/>
      <w:r w:rsidRPr="00B1051E">
        <w:rPr>
          <w:rFonts w:cs="Times New Roman"/>
        </w:rPr>
        <w:t>politikası</w:t>
      </w:r>
      <w:proofErr w:type="spellEnd"/>
      <w:r w:rsidRPr="00B1051E">
        <w:rPr>
          <w:rFonts w:cs="Times New Roman"/>
        </w:rPr>
        <w:t xml:space="preserve"> </w:t>
      </w:r>
      <w:proofErr w:type="spellStart"/>
      <w:r w:rsidRPr="00B1051E">
        <w:rPr>
          <w:rFonts w:cs="Times New Roman"/>
        </w:rPr>
        <w:t>kapsamında</w:t>
      </w:r>
      <w:proofErr w:type="spellEnd"/>
      <w:r w:rsidRPr="00B1051E">
        <w:rPr>
          <w:rFonts w:cs="Times New Roman"/>
        </w:rPr>
        <w:t xml:space="preserve"> önceliklerini yıllık yatırım ve faaliyet planlarıyla ilişkilendirir. Hedefler belirlenirken mevcut tüketim profili, bütçe imkânları, teknik fizibilite, kullanıcı davranışları ve kampüsün gelişim perspektifi birlikte değerlendirilir. Hedeflerin mümkün olduğunca ölçülebilir, zaman bağlı ve izlenebilir şekilde tanımlanması esastır.</w:t>
      </w:r>
    </w:p>
    <w:p w14:paraId="7FDD774A" w14:textId="77777777" w:rsidR="007E6A1F" w:rsidRDefault="007E6A1F">
      <w:pPr>
        <w:pStyle w:val="Heading1Custom"/>
        <w:spacing w:before="240" w:after="80"/>
        <w:rPr>
          <w:rFonts w:cs="Times New Roman"/>
          <w:color w:val="auto"/>
        </w:rPr>
      </w:pPr>
    </w:p>
    <w:p w14:paraId="36F1D0FA" w14:textId="77777777" w:rsidR="007E6A1F" w:rsidRDefault="007E6A1F">
      <w:pPr>
        <w:pStyle w:val="Heading1Custom"/>
        <w:spacing w:before="240" w:after="80"/>
        <w:rPr>
          <w:rFonts w:cs="Times New Roman"/>
          <w:color w:val="auto"/>
        </w:rPr>
      </w:pPr>
    </w:p>
    <w:p w14:paraId="0AC8865E" w14:textId="6E365F45" w:rsidR="003225A8" w:rsidRPr="00B1051E" w:rsidRDefault="008C3AE5">
      <w:pPr>
        <w:pStyle w:val="Heading1Custom"/>
        <w:spacing w:before="240" w:after="80"/>
        <w:rPr>
          <w:rFonts w:cs="Times New Roman"/>
          <w:color w:val="auto"/>
        </w:rPr>
      </w:pPr>
      <w:r w:rsidRPr="00B1051E">
        <w:rPr>
          <w:rFonts w:cs="Times New Roman"/>
          <w:color w:val="auto"/>
        </w:rPr>
        <w:lastRenderedPageBreak/>
        <w:t>5. Uygulama ilkeleri</w:t>
      </w:r>
    </w:p>
    <w:p w14:paraId="49D77753" w14:textId="77777777" w:rsidR="003225A8" w:rsidRPr="00B1051E" w:rsidRDefault="008C3AE5" w:rsidP="007E6A1F">
      <w:pPr>
        <w:pStyle w:val="Heading2Custom"/>
        <w:spacing w:before="240" w:after="80"/>
        <w:jc w:val="both"/>
        <w:rPr>
          <w:rFonts w:cs="Times New Roman"/>
          <w:color w:val="auto"/>
        </w:rPr>
      </w:pPr>
      <w:r w:rsidRPr="00B1051E">
        <w:rPr>
          <w:rFonts w:cs="Times New Roman"/>
          <w:color w:val="auto"/>
        </w:rPr>
        <w:t>5.1. Enerji kullanımının izlenmesi</w:t>
      </w:r>
    </w:p>
    <w:p w14:paraId="6A098750" w14:textId="77777777" w:rsidR="003225A8" w:rsidRPr="00B1051E" w:rsidRDefault="008C3AE5" w:rsidP="007E6A1F">
      <w:pPr>
        <w:spacing w:after="120"/>
        <w:ind w:firstLine="454"/>
        <w:jc w:val="both"/>
        <w:rPr>
          <w:rFonts w:cs="Times New Roman"/>
        </w:rPr>
      </w:pPr>
      <w:r w:rsidRPr="00B1051E">
        <w:rPr>
          <w:rFonts w:cs="Times New Roman"/>
        </w:rPr>
        <w:t>Elektrik, ısıl enerji ve mümkün olan diğer enerji girdileri düzenli olarak takip edilir; tüketim eğilimleri, yoğunluk göstergeleri ve olağan dışı sapmalar analiz edilir.</w:t>
      </w:r>
    </w:p>
    <w:p w14:paraId="0A98F1F1" w14:textId="77777777" w:rsidR="003225A8" w:rsidRPr="00B1051E" w:rsidRDefault="008C3AE5" w:rsidP="007E6A1F">
      <w:pPr>
        <w:pStyle w:val="Heading2Custom"/>
        <w:spacing w:before="240" w:after="80"/>
        <w:jc w:val="both"/>
        <w:rPr>
          <w:rFonts w:cs="Times New Roman"/>
          <w:color w:val="auto"/>
        </w:rPr>
      </w:pPr>
      <w:r w:rsidRPr="00B1051E">
        <w:rPr>
          <w:rFonts w:cs="Times New Roman"/>
          <w:color w:val="auto"/>
        </w:rPr>
        <w:t>5.2. Verimlilik önceliği</w:t>
      </w:r>
    </w:p>
    <w:p w14:paraId="288650EA" w14:textId="77777777" w:rsidR="003225A8" w:rsidRPr="00B1051E" w:rsidRDefault="008C3AE5" w:rsidP="007E6A1F">
      <w:pPr>
        <w:spacing w:after="120"/>
        <w:ind w:firstLine="454"/>
        <w:jc w:val="both"/>
        <w:rPr>
          <w:rFonts w:cs="Times New Roman"/>
        </w:rPr>
      </w:pPr>
      <w:r w:rsidRPr="00B1051E">
        <w:rPr>
          <w:rFonts w:cs="Times New Roman"/>
        </w:rPr>
        <w:t>Yeni enerji yatırımlarından önce talep azaltımı, kayıp-kaçakların düşürülmesi ve verimli ekipman kullanımı değerlendirilir.</w:t>
      </w:r>
    </w:p>
    <w:p w14:paraId="43DAFAD9" w14:textId="77777777" w:rsidR="003225A8" w:rsidRPr="00B1051E" w:rsidRDefault="008C3AE5" w:rsidP="007E6A1F">
      <w:pPr>
        <w:pStyle w:val="Heading2Custom"/>
        <w:spacing w:before="240" w:after="80"/>
        <w:jc w:val="both"/>
        <w:rPr>
          <w:rFonts w:cs="Times New Roman"/>
          <w:color w:val="auto"/>
        </w:rPr>
      </w:pPr>
      <w:r w:rsidRPr="00B1051E">
        <w:rPr>
          <w:rFonts w:cs="Times New Roman"/>
          <w:color w:val="auto"/>
        </w:rPr>
        <w:t>5.3. Sürdürülebilir tasarım ve satın alma</w:t>
      </w:r>
    </w:p>
    <w:p w14:paraId="42D62881" w14:textId="77777777" w:rsidR="003225A8" w:rsidRPr="00B1051E" w:rsidRDefault="008C3AE5" w:rsidP="007E6A1F">
      <w:pPr>
        <w:spacing w:after="120"/>
        <w:ind w:firstLine="454"/>
        <w:jc w:val="both"/>
        <w:rPr>
          <w:rFonts w:cs="Times New Roman"/>
        </w:rPr>
      </w:pPr>
      <w:r w:rsidRPr="00B1051E">
        <w:rPr>
          <w:rFonts w:cs="Times New Roman"/>
        </w:rPr>
        <w:t>Teknik şartnamelerde enerji verimliliği, düşük emisyon, bakım kolaylığı ve yaşam döngüsü maliyeti dikkate alınır.</w:t>
      </w:r>
    </w:p>
    <w:p w14:paraId="2CDCB641" w14:textId="77777777" w:rsidR="003225A8" w:rsidRPr="00B1051E" w:rsidRDefault="008C3AE5" w:rsidP="007E6A1F">
      <w:pPr>
        <w:pStyle w:val="Heading2Custom"/>
        <w:spacing w:before="240" w:after="80"/>
        <w:jc w:val="both"/>
        <w:rPr>
          <w:rFonts w:cs="Times New Roman"/>
          <w:color w:val="auto"/>
        </w:rPr>
      </w:pPr>
      <w:r w:rsidRPr="00B1051E">
        <w:rPr>
          <w:rFonts w:cs="Times New Roman"/>
          <w:color w:val="auto"/>
        </w:rPr>
        <w:t>5.4. Ulaşım dönüşümü</w:t>
      </w:r>
    </w:p>
    <w:p w14:paraId="2A48A9D7" w14:textId="77777777" w:rsidR="003225A8" w:rsidRPr="00B1051E" w:rsidRDefault="008C3AE5" w:rsidP="007E6A1F">
      <w:pPr>
        <w:spacing w:after="120"/>
        <w:ind w:firstLine="454"/>
        <w:jc w:val="both"/>
        <w:rPr>
          <w:rFonts w:cs="Times New Roman"/>
        </w:rPr>
      </w:pPr>
      <w:r w:rsidRPr="00B1051E">
        <w:rPr>
          <w:rFonts w:cs="Times New Roman"/>
        </w:rPr>
        <w:t>Elektrikli araç kullanımını kolaylaştıran altyapılar, kampüs içi düşük emisyonlu mobilite çözümleri ve toplu taşıma ile entegre ulaşım seçenekleri desteklenir.</w:t>
      </w:r>
    </w:p>
    <w:p w14:paraId="40A868DC" w14:textId="77777777" w:rsidR="003225A8" w:rsidRPr="00B1051E" w:rsidRDefault="008C3AE5" w:rsidP="007E6A1F">
      <w:pPr>
        <w:pStyle w:val="Heading2Custom"/>
        <w:spacing w:before="240" w:after="80"/>
        <w:jc w:val="both"/>
        <w:rPr>
          <w:rFonts w:cs="Times New Roman"/>
          <w:color w:val="auto"/>
        </w:rPr>
      </w:pPr>
      <w:r w:rsidRPr="00B1051E">
        <w:rPr>
          <w:rFonts w:cs="Times New Roman"/>
          <w:color w:val="auto"/>
        </w:rPr>
        <w:t>5.5. Farkındalık ve eğitim</w:t>
      </w:r>
    </w:p>
    <w:p w14:paraId="17CB8BE7" w14:textId="77777777" w:rsidR="003225A8" w:rsidRPr="00B1051E" w:rsidRDefault="008C3AE5" w:rsidP="007E6A1F">
      <w:pPr>
        <w:spacing w:after="120"/>
        <w:ind w:firstLine="454"/>
        <w:jc w:val="both"/>
        <w:rPr>
          <w:rFonts w:cs="Times New Roman"/>
        </w:rPr>
      </w:pPr>
      <w:r w:rsidRPr="00B1051E">
        <w:rPr>
          <w:rFonts w:cs="Times New Roman"/>
        </w:rPr>
        <w:t>Enerji tasarrufu, yenilenebilir enerji ve sürdürülebilir ulaşım konularında periyodik eğitim, duyuru ve kampanyalar düzenlenir.</w:t>
      </w:r>
    </w:p>
    <w:p w14:paraId="76C2D76F" w14:textId="77777777" w:rsidR="003225A8" w:rsidRPr="00B1051E" w:rsidRDefault="008C3AE5" w:rsidP="007E6A1F">
      <w:pPr>
        <w:pStyle w:val="Heading2Custom"/>
        <w:spacing w:before="240" w:after="80"/>
        <w:jc w:val="both"/>
        <w:rPr>
          <w:rFonts w:cs="Times New Roman"/>
          <w:color w:val="auto"/>
        </w:rPr>
      </w:pPr>
      <w:r w:rsidRPr="00B1051E">
        <w:rPr>
          <w:rFonts w:cs="Times New Roman"/>
          <w:color w:val="auto"/>
        </w:rPr>
        <w:t>5.6. İş birliği ve örnek olma</w:t>
      </w:r>
    </w:p>
    <w:p w14:paraId="2BCFB835" w14:textId="77777777" w:rsidR="003225A8" w:rsidRPr="00B1051E" w:rsidRDefault="008C3AE5" w:rsidP="007E6A1F">
      <w:pPr>
        <w:spacing w:after="120"/>
        <w:ind w:firstLine="454"/>
        <w:jc w:val="both"/>
        <w:rPr>
          <w:rFonts w:cs="Times New Roman"/>
        </w:rPr>
      </w:pPr>
      <w:r w:rsidRPr="00B1051E">
        <w:rPr>
          <w:rFonts w:cs="Times New Roman"/>
        </w:rPr>
        <w:t>Üniversite; kamu, özel sektör, yerel yönetimler ve öğrencilerle iş birliği içinde pilot uygulamalar geliştirerek iyi örnek oluşturmayı hedefler.</w:t>
      </w:r>
    </w:p>
    <w:p w14:paraId="5ADA9EE5" w14:textId="77777777" w:rsidR="003225A8" w:rsidRPr="00B1051E" w:rsidRDefault="008C3AE5" w:rsidP="007E6A1F">
      <w:pPr>
        <w:pStyle w:val="Heading1Custom"/>
        <w:spacing w:before="240" w:after="80"/>
        <w:jc w:val="both"/>
        <w:rPr>
          <w:rFonts w:cs="Times New Roman"/>
          <w:color w:val="auto"/>
        </w:rPr>
      </w:pPr>
      <w:r w:rsidRPr="00B1051E">
        <w:rPr>
          <w:rFonts w:cs="Times New Roman"/>
          <w:color w:val="auto"/>
        </w:rPr>
        <w:t>6. İzleme, gözden geçirme ve sürekli iyileştirme</w:t>
      </w:r>
    </w:p>
    <w:p w14:paraId="100EA8A3" w14:textId="77777777" w:rsidR="003225A8" w:rsidRPr="00B1051E" w:rsidRDefault="008C3AE5" w:rsidP="007E6A1F">
      <w:pPr>
        <w:spacing w:after="120"/>
        <w:ind w:firstLine="454"/>
        <w:jc w:val="both"/>
        <w:rPr>
          <w:rFonts w:cs="Times New Roman"/>
        </w:rPr>
      </w:pPr>
      <w:r w:rsidRPr="00B1051E">
        <w:rPr>
          <w:rFonts w:cs="Times New Roman"/>
        </w:rPr>
        <w:t>Bu politika kapsamında belirlenen hedef ve öncelikler, ilgili birimler tarafından düzenli aralıklarla gözden geçirilir. Enerji performans göstergeleri, emisyon azaltım sonuçları, uygulanan projelerin çıktıları ve farkındalık faaliyetlerinin etkileri yıllık veya dönemsel raporlamalarla izlenir. Elde edilen bulgular doğrultusunda politika güncellenebilir, yeni hedefler tanımlanabilir veya öncelikler revize edilebilir.</w:t>
      </w:r>
    </w:p>
    <w:p w14:paraId="1D6828D8" w14:textId="77777777" w:rsidR="003225A8" w:rsidRPr="00B1051E" w:rsidRDefault="008C3AE5" w:rsidP="007E6A1F">
      <w:pPr>
        <w:spacing w:after="120"/>
        <w:ind w:firstLine="454"/>
        <w:jc w:val="both"/>
        <w:rPr>
          <w:rFonts w:cs="Times New Roman"/>
        </w:rPr>
      </w:pPr>
      <w:r w:rsidRPr="00B1051E">
        <w:rPr>
          <w:rFonts w:cs="Times New Roman"/>
        </w:rPr>
        <w:t>Sürekli iyileştirme yaklaşımı gereği; yalnızca gerçekleşen tasarruflar değil, tespit edilen engeller, gecikmeler, veri eksiklikleri ve uygulama zorlukları da kurumsal öğrenme amacıyla kayıt altına alınır. Böylece enerji yönetimi, statik bir belge olmaktan çıkarılarak yaşayan bir yönetim aracı haline dönüştürülür.</w:t>
      </w:r>
    </w:p>
    <w:p w14:paraId="79E67B04" w14:textId="77777777" w:rsidR="007B6853" w:rsidRDefault="007B6853">
      <w:pPr>
        <w:pStyle w:val="Heading1Custom"/>
        <w:spacing w:before="240" w:after="80"/>
        <w:rPr>
          <w:rFonts w:cs="Times New Roman"/>
          <w:color w:val="auto"/>
        </w:rPr>
      </w:pPr>
    </w:p>
    <w:p w14:paraId="5040737A" w14:textId="77777777" w:rsidR="007E6A1F" w:rsidRDefault="007E6A1F">
      <w:pPr>
        <w:pStyle w:val="Heading1Custom"/>
        <w:spacing w:before="240" w:after="80"/>
        <w:rPr>
          <w:rFonts w:cs="Times New Roman"/>
          <w:color w:val="auto"/>
        </w:rPr>
      </w:pPr>
    </w:p>
    <w:p w14:paraId="3FF39FB7" w14:textId="75EAEAD9" w:rsidR="003225A8" w:rsidRPr="00B1051E" w:rsidRDefault="008C3AE5">
      <w:pPr>
        <w:pStyle w:val="Heading1Custom"/>
        <w:spacing w:before="240" w:after="80"/>
        <w:rPr>
          <w:rFonts w:cs="Times New Roman"/>
          <w:color w:val="auto"/>
        </w:rPr>
      </w:pPr>
      <w:r w:rsidRPr="00B1051E">
        <w:rPr>
          <w:rFonts w:cs="Times New Roman"/>
          <w:color w:val="auto"/>
        </w:rPr>
        <w:lastRenderedPageBreak/>
        <w:t>7. Kurumsal taahhüt metni</w:t>
      </w:r>
    </w:p>
    <w:p w14:paraId="004300A2" w14:textId="77777777" w:rsidR="003225A8" w:rsidRPr="00B1051E" w:rsidRDefault="008C3AE5" w:rsidP="007E6A1F">
      <w:pPr>
        <w:spacing w:after="120"/>
        <w:ind w:firstLine="454"/>
        <w:jc w:val="both"/>
        <w:rPr>
          <w:rFonts w:cs="Times New Roman"/>
        </w:rPr>
      </w:pPr>
      <w:r w:rsidRPr="00B1051E">
        <w:rPr>
          <w:rFonts w:cs="Times New Roman"/>
        </w:rPr>
        <w:t>Erciyes Üniversitesi Enerji Dönüşümleri Araştırma ve Uygulama Merkezi Müdürlüğü olarak; enerji kaynaklarının etkin, verimli ve sorumlu kullanımını kurumsal bir görev kabul ediyoruz. Yenilenebilir enerji kaynaklarının üniversite genelinde yaygınlaştırılması, enerji verimliliği uygulamalarının güçlendirilmesi, elektrikli araç ve sürdürülebilir ulaşım çözümlerinin desteklenmesi, emisyonların azaltılması ve tüm paydaşlarda farkındalık oluşturulması için gerekli planlama, koordinasyon, izleme ve iyileştirme çalışmalarını sürdürmeyi taahhüt ediyoruz.</w:t>
      </w:r>
    </w:p>
    <w:p w14:paraId="257BEF77" w14:textId="77777777" w:rsidR="003225A8" w:rsidRPr="00B1051E" w:rsidRDefault="008C3AE5" w:rsidP="007E6A1F">
      <w:pPr>
        <w:pStyle w:val="Heading1Custom"/>
        <w:spacing w:before="240" w:after="80"/>
        <w:jc w:val="both"/>
        <w:rPr>
          <w:rFonts w:cs="Times New Roman"/>
          <w:color w:val="auto"/>
        </w:rPr>
      </w:pPr>
      <w:r w:rsidRPr="00B1051E">
        <w:rPr>
          <w:rFonts w:cs="Times New Roman"/>
          <w:color w:val="auto"/>
        </w:rPr>
        <w:t>8. Onay ve yürürlük</w:t>
      </w:r>
    </w:p>
    <w:p w14:paraId="1E9E6CF2" w14:textId="77777777" w:rsidR="003225A8" w:rsidRPr="00B1051E" w:rsidRDefault="008C3AE5" w:rsidP="007E6A1F">
      <w:pPr>
        <w:spacing w:after="120"/>
        <w:ind w:firstLine="454"/>
        <w:jc w:val="both"/>
        <w:rPr>
          <w:rFonts w:cs="Times New Roman"/>
        </w:rPr>
      </w:pPr>
      <w:r w:rsidRPr="00B1051E">
        <w:rPr>
          <w:rFonts w:cs="Times New Roman"/>
        </w:rPr>
        <w:t>Bu Enerji Politikası, [ilgili kurul / makam] onayı ile yürürlüğe girer. Politika, ihtiyaç duyulması halinde veya periyodik gözden geçirme sonuçlarına bağlı olarak güncellenir.</w:t>
      </w:r>
    </w:p>
    <w:p w14:paraId="3EC63111" w14:textId="77777777" w:rsidR="003225A8" w:rsidRPr="00B1051E" w:rsidRDefault="003225A8">
      <w:pPr>
        <w:rPr>
          <w:rFonts w:cs="Times New Roman"/>
        </w:rPr>
      </w:pPr>
    </w:p>
    <w:tbl>
      <w:tblPr>
        <w:tblW w:w="0" w:type="auto"/>
        <w:jc w:val="center"/>
        <w:tblLayout w:type="fixed"/>
        <w:tblLook w:val="04A0" w:firstRow="1" w:lastRow="0" w:firstColumn="1" w:lastColumn="0" w:noHBand="0" w:noVBand="1"/>
      </w:tblPr>
      <w:tblGrid>
        <w:gridCol w:w="4252"/>
        <w:gridCol w:w="4252"/>
      </w:tblGrid>
      <w:tr w:rsidR="00B1051E" w:rsidRPr="00B1051E" w14:paraId="0D60A645" w14:textId="77777777">
        <w:trPr>
          <w:jc w:val="center"/>
        </w:trPr>
        <w:tc>
          <w:tcPr>
            <w:tcW w:w="4252" w:type="dxa"/>
            <w:vAlign w:val="center"/>
          </w:tcPr>
          <w:p w14:paraId="54553902" w14:textId="5A63EC5D" w:rsidR="003225A8" w:rsidRPr="007E6A1F" w:rsidRDefault="008C3AE5">
            <w:pPr>
              <w:jc w:val="center"/>
              <w:rPr>
                <w:rFonts w:cs="Times New Roman"/>
              </w:rPr>
            </w:pPr>
            <w:proofErr w:type="spellStart"/>
            <w:r w:rsidRPr="007E6A1F">
              <w:rPr>
                <w:rFonts w:cs="Times New Roman"/>
                <w:b/>
              </w:rPr>
              <w:t>Hazırlayan</w:t>
            </w:r>
            <w:proofErr w:type="spellEnd"/>
            <w:r w:rsidRPr="007E6A1F">
              <w:rPr>
                <w:rFonts w:cs="Times New Roman"/>
                <w:b/>
              </w:rPr>
              <w:br/>
            </w:r>
            <w:r w:rsidR="007E6A1F" w:rsidRPr="007E6A1F">
              <w:rPr>
                <w:rFonts w:cs="Times New Roman"/>
                <w:b/>
              </w:rPr>
              <w:t>Prof. Dr. Nesrin KAYATAŞ DEMİR</w:t>
            </w:r>
          </w:p>
        </w:tc>
        <w:tc>
          <w:tcPr>
            <w:tcW w:w="4252" w:type="dxa"/>
            <w:vAlign w:val="center"/>
          </w:tcPr>
          <w:p w14:paraId="6478E7C7" w14:textId="7F3B304E" w:rsidR="003225A8" w:rsidRPr="007E6A1F" w:rsidRDefault="008C3AE5" w:rsidP="007E6A1F">
            <w:pPr>
              <w:jc w:val="center"/>
              <w:rPr>
                <w:rFonts w:cs="Times New Roman"/>
              </w:rPr>
            </w:pPr>
            <w:proofErr w:type="spellStart"/>
            <w:r w:rsidRPr="007E6A1F">
              <w:rPr>
                <w:rFonts w:cs="Times New Roman"/>
                <w:b/>
              </w:rPr>
              <w:t>Onaylayan</w:t>
            </w:r>
            <w:proofErr w:type="spellEnd"/>
            <w:r w:rsidRPr="007E6A1F">
              <w:rPr>
                <w:rFonts w:cs="Times New Roman"/>
                <w:b/>
              </w:rPr>
              <w:br/>
            </w:r>
            <w:r w:rsidR="007E6A1F" w:rsidRPr="007E6A1F">
              <w:rPr>
                <w:rFonts w:cs="Times New Roman"/>
                <w:b/>
              </w:rPr>
              <w:t xml:space="preserve">Prof. Dr. </w:t>
            </w:r>
            <w:proofErr w:type="spellStart"/>
            <w:r w:rsidR="007E6A1F" w:rsidRPr="007E6A1F">
              <w:rPr>
                <w:rFonts w:cs="Times New Roman"/>
                <w:b/>
              </w:rPr>
              <w:t>Fatih</w:t>
            </w:r>
            <w:proofErr w:type="spellEnd"/>
            <w:r w:rsidR="007E6A1F" w:rsidRPr="007E6A1F">
              <w:rPr>
                <w:rFonts w:cs="Times New Roman"/>
                <w:b/>
              </w:rPr>
              <w:t xml:space="preserve"> ALTUN</w:t>
            </w:r>
          </w:p>
        </w:tc>
      </w:tr>
      <w:tr w:rsidR="00B1051E" w:rsidRPr="00B1051E" w14:paraId="52600839" w14:textId="77777777">
        <w:trPr>
          <w:jc w:val="center"/>
        </w:trPr>
        <w:tc>
          <w:tcPr>
            <w:tcW w:w="4252" w:type="dxa"/>
            <w:vAlign w:val="center"/>
          </w:tcPr>
          <w:p w14:paraId="4FD76AE6" w14:textId="571998BD" w:rsidR="003225A8" w:rsidRPr="00B1051E" w:rsidRDefault="007E6A1F">
            <w:pPr>
              <w:jc w:val="center"/>
              <w:rPr>
                <w:rFonts w:cs="Times New Roman"/>
              </w:rPr>
            </w:pPr>
            <w:proofErr w:type="spellStart"/>
            <w:r>
              <w:rPr>
                <w:rFonts w:cs="Times New Roman"/>
              </w:rPr>
              <w:t>Enerji</w:t>
            </w:r>
            <w:proofErr w:type="spellEnd"/>
            <w:r>
              <w:rPr>
                <w:rFonts w:cs="Times New Roman"/>
              </w:rPr>
              <w:t xml:space="preserve"> </w:t>
            </w:r>
            <w:proofErr w:type="spellStart"/>
            <w:r>
              <w:rPr>
                <w:rFonts w:cs="Times New Roman"/>
              </w:rPr>
              <w:t>Dönüşümleri</w:t>
            </w:r>
            <w:proofErr w:type="spellEnd"/>
            <w:r>
              <w:rPr>
                <w:rFonts w:cs="Times New Roman"/>
              </w:rPr>
              <w:t xml:space="preserve"> </w:t>
            </w:r>
            <w:proofErr w:type="spellStart"/>
            <w:r>
              <w:rPr>
                <w:rFonts w:cs="Times New Roman"/>
              </w:rPr>
              <w:t>Araştırma</w:t>
            </w:r>
            <w:proofErr w:type="spellEnd"/>
            <w:r>
              <w:rPr>
                <w:rFonts w:cs="Times New Roman"/>
              </w:rPr>
              <w:t xml:space="preserve"> </w:t>
            </w:r>
            <w:proofErr w:type="spellStart"/>
            <w:r>
              <w:rPr>
                <w:rFonts w:cs="Times New Roman"/>
              </w:rPr>
              <w:t>ve</w:t>
            </w:r>
            <w:proofErr w:type="spellEnd"/>
            <w:r>
              <w:rPr>
                <w:rFonts w:cs="Times New Roman"/>
              </w:rPr>
              <w:t xml:space="preserve"> </w:t>
            </w:r>
            <w:proofErr w:type="spellStart"/>
            <w:r>
              <w:rPr>
                <w:rFonts w:cs="Times New Roman"/>
              </w:rPr>
              <w:t>Uygulama</w:t>
            </w:r>
            <w:proofErr w:type="spellEnd"/>
            <w:r>
              <w:rPr>
                <w:rFonts w:cs="Times New Roman"/>
              </w:rPr>
              <w:t xml:space="preserve"> </w:t>
            </w:r>
            <w:proofErr w:type="spellStart"/>
            <w:r>
              <w:rPr>
                <w:rFonts w:cs="Times New Roman"/>
              </w:rPr>
              <w:t>Merkez</w:t>
            </w:r>
            <w:proofErr w:type="spellEnd"/>
            <w:r>
              <w:rPr>
                <w:rFonts w:cs="Times New Roman"/>
              </w:rPr>
              <w:t xml:space="preserve"> </w:t>
            </w:r>
            <w:proofErr w:type="spellStart"/>
            <w:r>
              <w:rPr>
                <w:rFonts w:cs="Times New Roman"/>
              </w:rPr>
              <w:t>Müdürü</w:t>
            </w:r>
            <w:proofErr w:type="spellEnd"/>
          </w:p>
        </w:tc>
        <w:tc>
          <w:tcPr>
            <w:tcW w:w="4252" w:type="dxa"/>
            <w:vAlign w:val="center"/>
          </w:tcPr>
          <w:p w14:paraId="162CDE7C" w14:textId="1CFF3734" w:rsidR="003225A8" w:rsidRPr="00B1051E" w:rsidRDefault="007E6A1F" w:rsidP="007E6A1F">
            <w:pPr>
              <w:rPr>
                <w:rFonts w:cs="Times New Roman"/>
              </w:rPr>
            </w:pPr>
            <w:r>
              <w:rPr>
                <w:rFonts w:cs="Times New Roman"/>
              </w:rPr>
              <w:t xml:space="preserve">                               </w:t>
            </w:r>
            <w:proofErr w:type="spellStart"/>
            <w:r>
              <w:rPr>
                <w:rFonts w:cs="Times New Roman"/>
              </w:rPr>
              <w:t>Rektör</w:t>
            </w:r>
            <w:proofErr w:type="spellEnd"/>
          </w:p>
        </w:tc>
      </w:tr>
    </w:tbl>
    <w:p w14:paraId="2A91A295" w14:textId="1A0A3D6B" w:rsidR="003225A8" w:rsidRPr="00B1051E" w:rsidRDefault="003225A8">
      <w:pPr>
        <w:pStyle w:val="SmallCustom"/>
        <w:rPr>
          <w:rFonts w:cs="Times New Roman"/>
        </w:rPr>
      </w:pPr>
      <w:bookmarkStart w:id="0" w:name="_GoBack"/>
      <w:bookmarkEnd w:id="0"/>
    </w:p>
    <w:sectPr w:rsidR="003225A8" w:rsidRPr="00B1051E" w:rsidSect="00034616">
      <w:pgSz w:w="12240" w:h="15840"/>
      <w:pgMar w:top="1247" w:right="124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85D8A"/>
    <w:rsid w:val="0029639D"/>
    <w:rsid w:val="003225A8"/>
    <w:rsid w:val="00326F90"/>
    <w:rsid w:val="007B6853"/>
    <w:rsid w:val="007E6A1F"/>
    <w:rsid w:val="008A767B"/>
    <w:rsid w:val="008C3AE5"/>
    <w:rsid w:val="00AA1D8D"/>
    <w:rsid w:val="00B1051E"/>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9A863"/>
  <w14:defaultImageDpi w14:val="300"/>
  <w15:docId w15:val="{0F40479E-64D1-4D1A-AD5C-324ABB43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Times New Roman" w:eastAsia="Times New Roman" w:hAnsi="Times New Roman"/>
      <w:b/>
      <w:color w:val="1F4E79"/>
      <w:sz w:val="36"/>
    </w:rPr>
  </w:style>
  <w:style w:type="paragraph" w:customStyle="1" w:styleId="SubtitleCustom">
    <w:name w:val="SubtitleCustom"/>
    <w:rPr>
      <w:rFonts w:ascii="Times New Roman" w:eastAsia="Times New Roman" w:hAnsi="Times New Roman"/>
      <w:i/>
      <w:sz w:val="26"/>
    </w:rPr>
  </w:style>
  <w:style w:type="paragraph" w:customStyle="1" w:styleId="Heading1Custom">
    <w:name w:val="Heading1Custom"/>
    <w:rPr>
      <w:rFonts w:ascii="Times New Roman" w:eastAsia="Times New Roman" w:hAnsi="Times New Roman"/>
      <w:b/>
      <w:color w:val="1F4E79"/>
      <w:sz w:val="30"/>
    </w:rPr>
  </w:style>
  <w:style w:type="paragraph" w:customStyle="1" w:styleId="Heading2Custom">
    <w:name w:val="Heading2Custom"/>
    <w:rPr>
      <w:rFonts w:ascii="Times New Roman" w:eastAsia="Times New Roman" w:hAnsi="Times New Roman"/>
      <w:b/>
      <w:color w:val="1F4E79"/>
      <w:sz w:val="25"/>
    </w:rPr>
  </w:style>
  <w:style w:type="paragraph" w:customStyle="1" w:styleId="SmallCustom">
    <w:name w:val="SmallCustom"/>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D31DC-1E94-4FC0-81E8-AB613C69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1072</Words>
  <Characters>6111</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4</cp:revision>
  <dcterms:created xsi:type="dcterms:W3CDTF">2026-07-27T10:16:00Z</dcterms:created>
  <dcterms:modified xsi:type="dcterms:W3CDTF">2026-07-27T10:39:00Z</dcterms:modified>
  <cp:category/>
</cp:coreProperties>
</file>